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5CCE" w14:textId="77777777" w:rsidR="008C02F4" w:rsidRPr="00DE28C0" w:rsidRDefault="00B377E4">
      <w:pPr>
        <w:spacing w:before="8" w:after="0" w:line="170" w:lineRule="exact"/>
        <w:rPr>
          <w:rFonts w:ascii="Arial" w:hAnsi="Arial" w:cs="Arial"/>
          <w:sz w:val="24"/>
          <w:szCs w:val="24"/>
        </w:rPr>
      </w:pPr>
      <w:r w:rsidRPr="00DE28C0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4474052" wp14:editId="5C7B4967">
            <wp:simplePos x="0" y="0"/>
            <wp:positionH relativeFrom="column">
              <wp:posOffset>8314660</wp:posOffset>
            </wp:positionH>
            <wp:positionV relativeFrom="paragraph">
              <wp:posOffset>-198976</wp:posOffset>
            </wp:positionV>
            <wp:extent cx="818707" cy="1091609"/>
            <wp:effectExtent l="0" t="0" r="635" b="0"/>
            <wp:wrapNone/>
            <wp:docPr id="2" name="Picture 2" descr="rother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ther_logo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707" cy="109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72367" w14:textId="77777777" w:rsidR="004C0B68" w:rsidRDefault="004C0B68" w:rsidP="004C0B68">
      <w:pPr>
        <w:spacing w:after="0" w:line="240" w:lineRule="auto"/>
        <w:rPr>
          <w:rFonts w:ascii="Arial" w:eastAsia="Verdana" w:hAnsi="Arial" w:cs="Arial"/>
          <w:b/>
          <w:sz w:val="32"/>
          <w:szCs w:val="32"/>
        </w:rPr>
      </w:pPr>
      <w:r w:rsidRPr="004C0B68">
        <w:rPr>
          <w:rFonts w:ascii="Arial" w:eastAsia="Verdana" w:hAnsi="Arial" w:cs="Arial"/>
          <w:b/>
          <w:sz w:val="32"/>
          <w:szCs w:val="32"/>
        </w:rPr>
        <w:t xml:space="preserve">Local Authorities (Executive Arrangements) </w:t>
      </w:r>
    </w:p>
    <w:p w14:paraId="69C5F4B7" w14:textId="77777777" w:rsidR="004C0B68" w:rsidRPr="004C0B68" w:rsidRDefault="004C0B68" w:rsidP="004C0B68">
      <w:pPr>
        <w:spacing w:after="0" w:line="240" w:lineRule="auto"/>
        <w:rPr>
          <w:rFonts w:ascii="Arial" w:eastAsia="Verdana" w:hAnsi="Arial" w:cs="Arial"/>
          <w:b/>
          <w:sz w:val="32"/>
          <w:szCs w:val="32"/>
        </w:rPr>
      </w:pPr>
      <w:r w:rsidRPr="004C0B68">
        <w:rPr>
          <w:rFonts w:ascii="Arial" w:eastAsia="Verdana" w:hAnsi="Arial" w:cs="Arial"/>
          <w:b/>
          <w:sz w:val="32"/>
          <w:szCs w:val="32"/>
        </w:rPr>
        <w:t xml:space="preserve">(Meetings and Access to Information) (England) Regulations 2012 </w:t>
      </w:r>
    </w:p>
    <w:p w14:paraId="6A4A0990" w14:textId="77777777" w:rsidR="008C02F4" w:rsidRPr="00DE28C0" w:rsidRDefault="008C02F4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55DC788" w14:textId="77777777" w:rsidR="008C02F4" w:rsidRPr="00DE28C0" w:rsidRDefault="004C0B68" w:rsidP="00787F9F">
      <w:pPr>
        <w:spacing w:before="10" w:after="0" w:line="240" w:lineRule="auto"/>
        <w:ind w:right="-20"/>
        <w:rPr>
          <w:rFonts w:ascii="Arial" w:eastAsia="Verdana" w:hAnsi="Arial" w:cs="Arial"/>
          <w:sz w:val="24"/>
          <w:szCs w:val="24"/>
        </w:rPr>
      </w:pPr>
      <w:r w:rsidRPr="00DE28C0">
        <w:rPr>
          <w:rFonts w:ascii="Arial" w:eastAsia="Verdana" w:hAnsi="Arial" w:cs="Arial"/>
          <w:b/>
          <w:bCs/>
          <w:sz w:val="24"/>
          <w:szCs w:val="24"/>
        </w:rPr>
        <w:t>Notice that an item of business (or part of an item of business)</w:t>
      </w:r>
      <w:r w:rsidR="00787F9F">
        <w:rPr>
          <w:rFonts w:ascii="Arial" w:eastAsia="Verdana" w:hAnsi="Arial" w:cs="Arial"/>
          <w:b/>
          <w:bCs/>
          <w:sz w:val="24"/>
          <w:szCs w:val="24"/>
        </w:rPr>
        <w:t xml:space="preserve"> </w:t>
      </w:r>
      <w:r w:rsidRPr="00DE28C0">
        <w:rPr>
          <w:rFonts w:ascii="Arial" w:eastAsia="Verdana" w:hAnsi="Arial" w:cs="Arial"/>
          <w:b/>
          <w:bCs/>
          <w:sz w:val="24"/>
          <w:szCs w:val="24"/>
        </w:rPr>
        <w:t>may need to be considered in private.</w:t>
      </w:r>
    </w:p>
    <w:p w14:paraId="69BC8DA9" w14:textId="77777777" w:rsidR="008C02F4" w:rsidRPr="00DE28C0" w:rsidRDefault="004C0B68" w:rsidP="004C0B68">
      <w:pPr>
        <w:spacing w:after="0" w:line="240" w:lineRule="auto"/>
        <w:ind w:right="29"/>
        <w:rPr>
          <w:rFonts w:ascii="Arial" w:eastAsia="Verdana" w:hAnsi="Arial" w:cs="Arial"/>
          <w:sz w:val="24"/>
          <w:szCs w:val="24"/>
        </w:rPr>
      </w:pPr>
      <w:r w:rsidRPr="00DE28C0">
        <w:rPr>
          <w:rFonts w:ascii="Arial" w:eastAsia="Verdana" w:hAnsi="Arial" w:cs="Arial"/>
          <w:sz w:val="24"/>
          <w:szCs w:val="24"/>
        </w:rPr>
        <w:t xml:space="preserve">This notice is given in accordance with the provisions of Regulation 5(2) of the Local Authorities (Executive Arrangements) (Meetings and Access to Information) (England) Regulations 2012 which </w:t>
      </w:r>
      <w:proofErr w:type="gramStart"/>
      <w:r w:rsidRPr="00DE28C0">
        <w:rPr>
          <w:rFonts w:ascii="Arial" w:eastAsia="Verdana" w:hAnsi="Arial" w:cs="Arial"/>
          <w:sz w:val="24"/>
          <w:szCs w:val="24"/>
        </w:rPr>
        <w:t>is</w:t>
      </w:r>
      <w:proofErr w:type="gramEnd"/>
      <w:r w:rsidRPr="00DE28C0">
        <w:rPr>
          <w:rFonts w:ascii="Arial" w:eastAsia="Verdana" w:hAnsi="Arial" w:cs="Arial"/>
          <w:sz w:val="24"/>
          <w:szCs w:val="24"/>
        </w:rPr>
        <w:t xml:space="preserve"> required to be given at least 28 days before the meeting at which the </w:t>
      </w:r>
      <w:r w:rsidR="00F357CC">
        <w:rPr>
          <w:rFonts w:ascii="Arial" w:eastAsia="Verdana" w:hAnsi="Arial" w:cs="Arial"/>
          <w:sz w:val="24"/>
          <w:szCs w:val="24"/>
        </w:rPr>
        <w:t xml:space="preserve">confidential or exempt </w:t>
      </w:r>
      <w:r w:rsidRPr="00DE28C0">
        <w:rPr>
          <w:rFonts w:ascii="Arial" w:eastAsia="Verdana" w:hAnsi="Arial" w:cs="Arial"/>
          <w:sz w:val="24"/>
          <w:szCs w:val="24"/>
        </w:rPr>
        <w:t>item of business is to be considered.</w:t>
      </w:r>
    </w:p>
    <w:p w14:paraId="019383C2" w14:textId="77777777" w:rsidR="008C02F4" w:rsidRPr="00C45D4B" w:rsidRDefault="008C02F4">
      <w:pPr>
        <w:spacing w:before="15" w:after="0" w:line="240" w:lineRule="exact"/>
        <w:rPr>
          <w:rFonts w:ascii="Arial" w:hAnsi="Arial" w:cs="Arial"/>
          <w:sz w:val="20"/>
          <w:szCs w:val="24"/>
        </w:rPr>
      </w:pPr>
    </w:p>
    <w:p w14:paraId="13326A84" w14:textId="4326097E" w:rsidR="008C02F4" w:rsidRPr="00DE28C0" w:rsidRDefault="004C0B68" w:rsidP="00B377E4">
      <w:pPr>
        <w:spacing w:before="21" w:after="0" w:line="259" w:lineRule="exact"/>
        <w:ind w:right="-20"/>
        <w:rPr>
          <w:rFonts w:ascii="Arial" w:eastAsia="Verdana" w:hAnsi="Arial" w:cs="Arial"/>
          <w:sz w:val="24"/>
          <w:szCs w:val="24"/>
        </w:rPr>
      </w:pPr>
      <w:r w:rsidRPr="00DE28C0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>Date of</w:t>
      </w:r>
      <w:r w:rsidR="00B37FFC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 xml:space="preserve"> Shareholder Executive Committee (Sub-Committee of</w:t>
      </w:r>
      <w:r w:rsidRPr="00DE28C0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 xml:space="preserve"> Cabinet</w:t>
      </w:r>
      <w:r w:rsidR="00B37FFC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>)</w:t>
      </w:r>
      <w:r w:rsidRPr="00DE28C0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 xml:space="preserve"> meeting to which this notice relates:</w:t>
      </w:r>
      <w:r w:rsidR="000515D4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 w:rsidR="00B37A61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 xml:space="preserve">15 July </w:t>
      </w:r>
      <w:r w:rsidR="000515D4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>202</w:t>
      </w:r>
      <w:r w:rsidR="00212F6A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>6</w:t>
      </w:r>
      <w:r w:rsidR="00567600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>*</w:t>
      </w:r>
    </w:p>
    <w:p w14:paraId="102D16E9" w14:textId="77777777" w:rsidR="008C02F4" w:rsidRDefault="008C02F4">
      <w:pPr>
        <w:spacing w:before="3" w:after="0" w:line="140" w:lineRule="exact"/>
        <w:rPr>
          <w:rFonts w:ascii="Arial" w:hAnsi="Arial" w:cs="Arial"/>
          <w:sz w:val="24"/>
          <w:szCs w:val="24"/>
        </w:rPr>
      </w:pPr>
    </w:p>
    <w:p w14:paraId="2CD4962A" w14:textId="5D163022" w:rsidR="00C45D4B" w:rsidRDefault="00C45D4B" w:rsidP="004866A7">
      <w:pPr>
        <w:spacing w:after="0" w:line="259" w:lineRule="exact"/>
        <w:ind w:right="-20"/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</w:pPr>
      <w:r w:rsidRPr="00DE28C0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>Date notice</w:t>
      </w:r>
      <w:r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 xml:space="preserve"> published</w:t>
      </w:r>
      <w:r w:rsidRPr="00DE28C0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>:</w:t>
      </w:r>
      <w:r w:rsidR="00946ABE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 w:rsidR="00D07820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>2</w:t>
      </w:r>
      <w:r w:rsidR="005172FD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>7</w:t>
      </w:r>
      <w:r w:rsidR="00DE6DE6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 w:rsidR="00D07820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 xml:space="preserve">April </w:t>
      </w:r>
      <w:r w:rsidR="000515D4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>202</w:t>
      </w:r>
      <w:r w:rsidR="00DE6DE6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>6</w:t>
      </w:r>
      <w:r w:rsidR="005F4798">
        <w:rPr>
          <w:rFonts w:ascii="Arial" w:eastAsia="Verdana" w:hAnsi="Arial" w:cs="Arial"/>
          <w:b/>
          <w:bCs/>
          <w:position w:val="-1"/>
          <w:sz w:val="24"/>
          <w:szCs w:val="24"/>
          <w:u w:val="thick" w:color="000000"/>
        </w:rPr>
        <w:t xml:space="preserve"> (updated 7 July 2026)</w:t>
      </w:r>
    </w:p>
    <w:p w14:paraId="72919D36" w14:textId="77777777" w:rsidR="004866A7" w:rsidRDefault="004866A7" w:rsidP="004866A7">
      <w:pPr>
        <w:spacing w:after="0" w:line="259" w:lineRule="exact"/>
        <w:ind w:right="-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4622"/>
        <w:gridCol w:w="9796"/>
      </w:tblGrid>
      <w:tr w:rsidR="00C45D4B" w14:paraId="3126CB1C" w14:textId="77777777" w:rsidTr="00345609">
        <w:trPr>
          <w:trHeight w:val="432"/>
        </w:trPr>
        <w:tc>
          <w:tcPr>
            <w:tcW w:w="4622" w:type="dxa"/>
            <w:shd w:val="clear" w:color="auto" w:fill="BFBFBF" w:themeFill="background1" w:themeFillShade="BF"/>
            <w:vAlign w:val="center"/>
          </w:tcPr>
          <w:p w14:paraId="574921E8" w14:textId="77777777" w:rsidR="00C45D4B" w:rsidRDefault="00C45D4B" w:rsidP="00345609">
            <w:pPr>
              <w:rPr>
                <w:rFonts w:ascii="Arial" w:hAnsi="Arial" w:cs="Arial"/>
                <w:sz w:val="24"/>
                <w:szCs w:val="24"/>
              </w:rPr>
            </w:pPr>
            <w:r w:rsidRPr="00DE28C0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Item of business</w:t>
            </w:r>
          </w:p>
        </w:tc>
        <w:tc>
          <w:tcPr>
            <w:tcW w:w="9796" w:type="dxa"/>
            <w:shd w:val="clear" w:color="auto" w:fill="BFBFBF" w:themeFill="background1" w:themeFillShade="BF"/>
            <w:vAlign w:val="center"/>
          </w:tcPr>
          <w:p w14:paraId="2BA69820" w14:textId="77777777" w:rsidR="00C45D4B" w:rsidRDefault="00C45D4B" w:rsidP="00345609">
            <w:pPr>
              <w:ind w:right="-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Reasons why item (or part t</w:t>
            </w:r>
            <w:r w:rsidRPr="00DE28C0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hereof) may need to be considered in private:</w:t>
            </w:r>
          </w:p>
        </w:tc>
      </w:tr>
      <w:tr w:rsidR="00C7553B" w:rsidRPr="00F03AB6" w14:paraId="38CF87CC" w14:textId="77777777" w:rsidTr="00281148">
        <w:tc>
          <w:tcPr>
            <w:tcW w:w="4622" w:type="dxa"/>
          </w:tcPr>
          <w:p w14:paraId="4AE70518" w14:textId="77777777" w:rsidR="000515D4" w:rsidRDefault="000515D4" w:rsidP="00D138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1140E" w14:textId="4E2273FB" w:rsidR="000D2EA7" w:rsidRDefault="00212F6A" w:rsidP="00D138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Confidential </w:t>
            </w:r>
            <w:r w:rsidR="00B37A61">
              <w:rPr>
                <w:rFonts w:ascii="Arial" w:hAnsi="Arial" w:cs="Arial"/>
                <w:sz w:val="24"/>
                <w:szCs w:val="24"/>
              </w:rPr>
              <w:t>Appendices</w:t>
            </w:r>
            <w:r>
              <w:rPr>
                <w:rFonts w:ascii="Arial" w:hAnsi="Arial" w:cs="Arial"/>
                <w:sz w:val="24"/>
                <w:szCs w:val="24"/>
              </w:rPr>
              <w:t xml:space="preserve"> to the </w:t>
            </w:r>
            <w:r w:rsidR="000515D4" w:rsidRPr="000515D4">
              <w:rPr>
                <w:rFonts w:ascii="Arial" w:hAnsi="Arial" w:cs="Arial"/>
                <w:sz w:val="24"/>
                <w:szCs w:val="24"/>
              </w:rPr>
              <w:t>Performance Monitoring Report</w:t>
            </w:r>
          </w:p>
          <w:p w14:paraId="243EF319" w14:textId="1FA00A58" w:rsidR="00212F6A" w:rsidRDefault="00212F6A" w:rsidP="00D138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6" w:type="dxa"/>
          </w:tcPr>
          <w:p w14:paraId="1E00C540" w14:textId="77777777" w:rsidR="00C7553B" w:rsidRDefault="00C7553B" w:rsidP="00C7553B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E9BE073" w14:textId="17AE3953" w:rsidR="00C7553B" w:rsidRPr="000515D4" w:rsidRDefault="00C7553B" w:rsidP="00C7553B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0515D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Not for publication by virtue of Paragraph</w:t>
            </w:r>
            <w:r w:rsidR="000D2EA7" w:rsidRPr="000515D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s</w:t>
            </w:r>
            <w:r w:rsidRPr="000515D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r w:rsidR="000D2EA7" w:rsidRPr="000515D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</w:t>
            </w:r>
            <w:r w:rsidRPr="000515D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r w:rsidR="000D2EA7" w:rsidRPr="000515D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and 2 </w:t>
            </w:r>
            <w:r w:rsidRPr="000515D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of Schedule 12A to the Local Government Act 1972, as amended, as follows:  </w:t>
            </w:r>
          </w:p>
          <w:p w14:paraId="5CFE5818" w14:textId="77777777" w:rsidR="00C7553B" w:rsidRPr="00B37FFC" w:rsidRDefault="00C7553B" w:rsidP="00C7553B">
            <w:pPr>
              <w:widowControl/>
              <w:rPr>
                <w:rFonts w:ascii="Arial" w:eastAsia="Times New Roman" w:hAnsi="Arial" w:cs="Arial"/>
                <w:sz w:val="24"/>
                <w:szCs w:val="24"/>
                <w:highlight w:val="yellow"/>
                <w:lang w:val="en-GB"/>
              </w:rPr>
            </w:pPr>
          </w:p>
          <w:p w14:paraId="488220F7" w14:textId="77777777" w:rsidR="000D2EA7" w:rsidRDefault="000515D4" w:rsidP="00895C5E">
            <w:pPr>
              <w:ind w:left="657" w:hanging="657"/>
              <w:rPr>
                <w:rFonts w:ascii="Arial" w:hAnsi="Arial" w:cs="Arial"/>
                <w:sz w:val="24"/>
                <w:szCs w:val="24"/>
              </w:rPr>
            </w:pPr>
            <w:r w:rsidRPr="000515D4">
              <w:rPr>
                <w:rFonts w:ascii="Arial" w:hAnsi="Arial" w:cs="Arial"/>
                <w:sz w:val="24"/>
                <w:szCs w:val="24"/>
              </w:rPr>
              <w:t>3.</w:t>
            </w:r>
            <w:r w:rsidRPr="000515D4">
              <w:rPr>
                <w:rFonts w:ascii="Arial" w:hAnsi="Arial" w:cs="Arial"/>
                <w:sz w:val="24"/>
                <w:szCs w:val="24"/>
              </w:rPr>
              <w:tab/>
              <w:t xml:space="preserve">Information relating to the financial or business affairs of any </w:t>
            </w:r>
            <w:proofErr w:type="gramStart"/>
            <w:r w:rsidRPr="000515D4">
              <w:rPr>
                <w:rFonts w:ascii="Arial" w:hAnsi="Arial" w:cs="Arial"/>
                <w:sz w:val="24"/>
                <w:szCs w:val="24"/>
              </w:rPr>
              <w:t>particular person</w:t>
            </w:r>
            <w:proofErr w:type="gramEnd"/>
            <w:r w:rsidRPr="000515D4">
              <w:rPr>
                <w:rFonts w:ascii="Arial" w:hAnsi="Arial" w:cs="Arial"/>
                <w:sz w:val="24"/>
                <w:szCs w:val="24"/>
              </w:rPr>
              <w:t xml:space="preserve"> (including the authority holding that information).</w:t>
            </w:r>
          </w:p>
          <w:p w14:paraId="54F79302" w14:textId="2C57A08D" w:rsidR="00DE6DE6" w:rsidRPr="000515D4" w:rsidRDefault="00DE6DE6" w:rsidP="00895C5E">
            <w:pPr>
              <w:ind w:left="657" w:hanging="6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A61" w:rsidRPr="00F03AB6" w14:paraId="14BC70C7" w14:textId="77777777" w:rsidTr="00281148">
        <w:tc>
          <w:tcPr>
            <w:tcW w:w="4622" w:type="dxa"/>
          </w:tcPr>
          <w:p w14:paraId="127D6B35" w14:textId="1BF1A9E2" w:rsidR="00B37A61" w:rsidRDefault="00D07820" w:rsidP="00D138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the Rother District Council Housing Company updated Business Plan</w:t>
            </w:r>
            <w:r w:rsidR="005F4798">
              <w:rPr>
                <w:rFonts w:ascii="Arial" w:hAnsi="Arial" w:cs="Arial"/>
                <w:sz w:val="24"/>
                <w:szCs w:val="24"/>
              </w:rPr>
              <w:t>**</w:t>
            </w:r>
          </w:p>
          <w:p w14:paraId="3560A9B8" w14:textId="77777777" w:rsidR="005172FD" w:rsidRDefault="005172FD" w:rsidP="00D138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0CDC5" w14:textId="431D2EA9" w:rsidR="005172FD" w:rsidRDefault="005172FD" w:rsidP="00D138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Confidential Appendix </w:t>
            </w:r>
          </w:p>
          <w:p w14:paraId="5BD4AD87" w14:textId="79DB6562" w:rsidR="00D07820" w:rsidRDefault="00D07820" w:rsidP="00D138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6" w:type="dxa"/>
          </w:tcPr>
          <w:p w14:paraId="1EF42553" w14:textId="77777777" w:rsidR="00D07820" w:rsidRPr="000515D4" w:rsidRDefault="00D07820" w:rsidP="00D07820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0515D4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Not for publication by virtue of Paragraphs 1 and 2 of Schedule 12A to the Local Government Act 1972, as amended, as follows:  </w:t>
            </w:r>
          </w:p>
          <w:p w14:paraId="1748AE42" w14:textId="77777777" w:rsidR="00D07820" w:rsidRPr="00B37FFC" w:rsidRDefault="00D07820" w:rsidP="00D07820">
            <w:pPr>
              <w:widowControl/>
              <w:rPr>
                <w:rFonts w:ascii="Arial" w:eastAsia="Times New Roman" w:hAnsi="Arial" w:cs="Arial"/>
                <w:sz w:val="24"/>
                <w:szCs w:val="24"/>
                <w:highlight w:val="yellow"/>
                <w:lang w:val="en-GB"/>
              </w:rPr>
            </w:pPr>
          </w:p>
          <w:p w14:paraId="5A51C9EE" w14:textId="77777777" w:rsidR="00D07820" w:rsidRDefault="00D07820" w:rsidP="00D07820">
            <w:pPr>
              <w:ind w:left="657" w:hanging="657"/>
              <w:rPr>
                <w:rFonts w:ascii="Arial" w:hAnsi="Arial" w:cs="Arial"/>
                <w:sz w:val="24"/>
                <w:szCs w:val="24"/>
              </w:rPr>
            </w:pPr>
            <w:r w:rsidRPr="000515D4">
              <w:rPr>
                <w:rFonts w:ascii="Arial" w:hAnsi="Arial" w:cs="Arial"/>
                <w:sz w:val="24"/>
                <w:szCs w:val="24"/>
              </w:rPr>
              <w:t>3.</w:t>
            </w:r>
            <w:r w:rsidRPr="000515D4">
              <w:rPr>
                <w:rFonts w:ascii="Arial" w:hAnsi="Arial" w:cs="Arial"/>
                <w:sz w:val="24"/>
                <w:szCs w:val="24"/>
              </w:rPr>
              <w:tab/>
              <w:t xml:space="preserve">Information relating to the financial or business affairs of any </w:t>
            </w:r>
            <w:proofErr w:type="gramStart"/>
            <w:r w:rsidRPr="000515D4">
              <w:rPr>
                <w:rFonts w:ascii="Arial" w:hAnsi="Arial" w:cs="Arial"/>
                <w:sz w:val="24"/>
                <w:szCs w:val="24"/>
              </w:rPr>
              <w:t>particular person</w:t>
            </w:r>
            <w:proofErr w:type="gramEnd"/>
            <w:r w:rsidRPr="000515D4">
              <w:rPr>
                <w:rFonts w:ascii="Arial" w:hAnsi="Arial" w:cs="Arial"/>
                <w:sz w:val="24"/>
                <w:szCs w:val="24"/>
              </w:rPr>
              <w:t xml:space="preserve"> (including the authority holding that information).</w:t>
            </w:r>
          </w:p>
          <w:p w14:paraId="09120E54" w14:textId="77777777" w:rsidR="00B37A61" w:rsidRDefault="00B37A61" w:rsidP="00C7553B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14:paraId="0C996F4F" w14:textId="77777777" w:rsidR="00C45D4B" w:rsidRDefault="00C45D4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754FE723" w14:textId="77777777" w:rsidR="00684C53" w:rsidRDefault="00684C53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2CF2BB1C" w14:textId="65597E18" w:rsidR="00567600" w:rsidRDefault="00567600">
      <w:pPr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date of this meeting has been moved to 22 July 2026.</w:t>
      </w:r>
    </w:p>
    <w:p w14:paraId="56C5B58C" w14:textId="68520B7F" w:rsidR="005F4798" w:rsidRDefault="005F4798">
      <w:pPr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 this item has been withdrawn from this meeting.</w:t>
      </w:r>
    </w:p>
    <w:p w14:paraId="792690BA" w14:textId="77777777" w:rsidR="00567600" w:rsidRDefault="0056760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156327D2" w14:textId="77777777" w:rsidR="008C02F4" w:rsidRPr="00DE28C0" w:rsidRDefault="004C0B68" w:rsidP="00B377E4">
      <w:pPr>
        <w:spacing w:before="21" w:after="0" w:line="240" w:lineRule="auto"/>
        <w:ind w:right="390"/>
        <w:rPr>
          <w:rFonts w:ascii="Arial" w:eastAsia="Verdana" w:hAnsi="Arial" w:cs="Arial"/>
          <w:sz w:val="24"/>
          <w:szCs w:val="24"/>
        </w:rPr>
      </w:pPr>
      <w:r w:rsidRPr="00DE28C0">
        <w:rPr>
          <w:rFonts w:ascii="Arial" w:eastAsia="Verdana" w:hAnsi="Arial" w:cs="Arial"/>
          <w:sz w:val="24"/>
          <w:szCs w:val="24"/>
        </w:rPr>
        <w:t xml:space="preserve">Any representations </w:t>
      </w:r>
      <w:r w:rsidR="00F357CC">
        <w:rPr>
          <w:rFonts w:ascii="Arial" w:eastAsia="Verdana" w:hAnsi="Arial" w:cs="Arial"/>
          <w:sz w:val="24"/>
          <w:szCs w:val="24"/>
        </w:rPr>
        <w:t xml:space="preserve">stating </w:t>
      </w:r>
      <w:r w:rsidRPr="00DE28C0">
        <w:rPr>
          <w:rFonts w:ascii="Arial" w:eastAsia="Verdana" w:hAnsi="Arial" w:cs="Arial"/>
          <w:sz w:val="24"/>
          <w:szCs w:val="24"/>
        </w:rPr>
        <w:t xml:space="preserve">that </w:t>
      </w:r>
      <w:proofErr w:type="gramStart"/>
      <w:r w:rsidRPr="00DE28C0">
        <w:rPr>
          <w:rFonts w:ascii="Arial" w:eastAsia="Verdana" w:hAnsi="Arial" w:cs="Arial"/>
          <w:sz w:val="24"/>
          <w:szCs w:val="24"/>
        </w:rPr>
        <w:t>an</w:t>
      </w:r>
      <w:proofErr w:type="gramEnd"/>
      <w:r w:rsidRPr="00DE28C0">
        <w:rPr>
          <w:rFonts w:ascii="Arial" w:eastAsia="Verdana" w:hAnsi="Arial" w:cs="Arial"/>
          <w:sz w:val="24"/>
          <w:szCs w:val="24"/>
        </w:rPr>
        <w:t xml:space="preserve"> item</w:t>
      </w:r>
      <w:r w:rsidR="00F357CC">
        <w:rPr>
          <w:rFonts w:ascii="Arial" w:eastAsia="Verdana" w:hAnsi="Arial" w:cs="Arial"/>
          <w:sz w:val="24"/>
          <w:szCs w:val="24"/>
        </w:rPr>
        <w:t>(s)</w:t>
      </w:r>
      <w:r w:rsidRPr="00DE28C0">
        <w:rPr>
          <w:rFonts w:ascii="Arial" w:eastAsia="Verdana" w:hAnsi="Arial" w:cs="Arial"/>
          <w:sz w:val="24"/>
          <w:szCs w:val="24"/>
        </w:rPr>
        <w:t xml:space="preserve"> listed above should not be considered in private should be sent to:</w:t>
      </w:r>
    </w:p>
    <w:p w14:paraId="17FB71BE" w14:textId="77777777" w:rsidR="008C02F4" w:rsidRPr="00DE28C0" w:rsidRDefault="004C0B68" w:rsidP="002F3868">
      <w:pPr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DE28C0">
        <w:rPr>
          <w:rFonts w:ascii="Arial" w:eastAsia="Verdana" w:hAnsi="Arial" w:cs="Arial"/>
          <w:sz w:val="24"/>
          <w:szCs w:val="24"/>
        </w:rPr>
        <w:t xml:space="preserve">By e-mail to: </w:t>
      </w:r>
      <w:hyperlink r:id="rId8" w:history="1">
        <w:r w:rsidR="00B377E4" w:rsidRPr="00DE28C0">
          <w:rPr>
            <w:rStyle w:val="Hyperlink"/>
            <w:rFonts w:ascii="Arial" w:eastAsia="Verdana" w:hAnsi="Arial" w:cs="Arial"/>
            <w:sz w:val="24"/>
            <w:szCs w:val="24"/>
          </w:rPr>
          <w:t>democraticservices@rother.gov.uk</w:t>
        </w:r>
      </w:hyperlink>
      <w:r w:rsidR="002F3868">
        <w:rPr>
          <w:rStyle w:val="Hyperlink"/>
          <w:rFonts w:ascii="Arial" w:eastAsia="Verdana" w:hAnsi="Arial" w:cs="Arial"/>
          <w:sz w:val="24"/>
          <w:szCs w:val="24"/>
        </w:rPr>
        <w:t xml:space="preserve">  </w:t>
      </w:r>
      <w:r w:rsidRPr="00DE28C0">
        <w:rPr>
          <w:rFonts w:ascii="Arial" w:eastAsia="Verdana" w:hAnsi="Arial" w:cs="Arial"/>
          <w:sz w:val="24"/>
          <w:szCs w:val="24"/>
        </w:rPr>
        <w:t xml:space="preserve">By post/hand to: </w:t>
      </w:r>
      <w:r w:rsidR="00B377E4" w:rsidRPr="00DE28C0">
        <w:rPr>
          <w:rFonts w:ascii="Arial" w:eastAsia="Verdana" w:hAnsi="Arial" w:cs="Arial"/>
          <w:sz w:val="24"/>
          <w:szCs w:val="24"/>
        </w:rPr>
        <w:t>Democratic Services, Town Hall, Bexhill-on-Sea, East Sussex TN39 3JX</w:t>
      </w:r>
    </w:p>
    <w:sectPr w:rsidR="008C02F4" w:rsidRPr="00DE28C0" w:rsidSect="00C45D4B">
      <w:pgSz w:w="16834" w:h="11909" w:orient="landscape" w:code="9"/>
      <w:pgMar w:top="576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6A67" w14:textId="77777777" w:rsidR="0069464C" w:rsidRDefault="0069464C" w:rsidP="00B377E4">
      <w:pPr>
        <w:spacing w:after="0" w:line="240" w:lineRule="auto"/>
      </w:pPr>
      <w:r>
        <w:separator/>
      </w:r>
    </w:p>
  </w:endnote>
  <w:endnote w:type="continuationSeparator" w:id="0">
    <w:p w14:paraId="5960C69B" w14:textId="77777777" w:rsidR="0069464C" w:rsidRDefault="0069464C" w:rsidP="00B3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C116" w14:textId="77777777" w:rsidR="0069464C" w:rsidRDefault="0069464C" w:rsidP="00B377E4">
      <w:pPr>
        <w:spacing w:after="0" w:line="240" w:lineRule="auto"/>
      </w:pPr>
      <w:r>
        <w:separator/>
      </w:r>
    </w:p>
  </w:footnote>
  <w:footnote w:type="continuationSeparator" w:id="0">
    <w:p w14:paraId="6546FA5B" w14:textId="77777777" w:rsidR="0069464C" w:rsidRDefault="0069464C" w:rsidP="00B37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7FE9"/>
    <w:multiLevelType w:val="hybridMultilevel"/>
    <w:tmpl w:val="49BC1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F4"/>
    <w:rsid w:val="000149EA"/>
    <w:rsid w:val="000515D4"/>
    <w:rsid w:val="00054A06"/>
    <w:rsid w:val="0008297C"/>
    <w:rsid w:val="000D2EA7"/>
    <w:rsid w:val="000E35CE"/>
    <w:rsid w:val="00115E19"/>
    <w:rsid w:val="00126ECB"/>
    <w:rsid w:val="0016182F"/>
    <w:rsid w:val="00185560"/>
    <w:rsid w:val="001B359D"/>
    <w:rsid w:val="002013FF"/>
    <w:rsid w:val="00201AB7"/>
    <w:rsid w:val="00212F6A"/>
    <w:rsid w:val="00223C8F"/>
    <w:rsid w:val="002728C7"/>
    <w:rsid w:val="002E5EBA"/>
    <w:rsid w:val="002F3868"/>
    <w:rsid w:val="00360C53"/>
    <w:rsid w:val="00384774"/>
    <w:rsid w:val="003E2CCE"/>
    <w:rsid w:val="003F7145"/>
    <w:rsid w:val="00406766"/>
    <w:rsid w:val="0042456C"/>
    <w:rsid w:val="00447A4D"/>
    <w:rsid w:val="00456894"/>
    <w:rsid w:val="0046316E"/>
    <w:rsid w:val="004866A7"/>
    <w:rsid w:val="004976EC"/>
    <w:rsid w:val="004C0B68"/>
    <w:rsid w:val="004F61EE"/>
    <w:rsid w:val="005172FD"/>
    <w:rsid w:val="00567600"/>
    <w:rsid w:val="005F180D"/>
    <w:rsid w:val="005F4798"/>
    <w:rsid w:val="00622465"/>
    <w:rsid w:val="006575B8"/>
    <w:rsid w:val="00672D60"/>
    <w:rsid w:val="00684239"/>
    <w:rsid w:val="00684C53"/>
    <w:rsid w:val="0069464C"/>
    <w:rsid w:val="006C1602"/>
    <w:rsid w:val="006F1C76"/>
    <w:rsid w:val="00787F9F"/>
    <w:rsid w:val="007D4260"/>
    <w:rsid w:val="00841E0C"/>
    <w:rsid w:val="00856FA1"/>
    <w:rsid w:val="00867CF0"/>
    <w:rsid w:val="00887665"/>
    <w:rsid w:val="00895C5E"/>
    <w:rsid w:val="008C02F4"/>
    <w:rsid w:val="008D5AAC"/>
    <w:rsid w:val="00924353"/>
    <w:rsid w:val="00946ABE"/>
    <w:rsid w:val="00950AE8"/>
    <w:rsid w:val="0097222A"/>
    <w:rsid w:val="0097268E"/>
    <w:rsid w:val="00995EF7"/>
    <w:rsid w:val="009D36B9"/>
    <w:rsid w:val="009D67D8"/>
    <w:rsid w:val="00A400F1"/>
    <w:rsid w:val="00A8160C"/>
    <w:rsid w:val="00A83DED"/>
    <w:rsid w:val="00AA2566"/>
    <w:rsid w:val="00AB40C4"/>
    <w:rsid w:val="00B018A0"/>
    <w:rsid w:val="00B170EB"/>
    <w:rsid w:val="00B377E4"/>
    <w:rsid w:val="00B37A61"/>
    <w:rsid w:val="00B37FFC"/>
    <w:rsid w:val="00B425AC"/>
    <w:rsid w:val="00B973AB"/>
    <w:rsid w:val="00BA455F"/>
    <w:rsid w:val="00BE5E56"/>
    <w:rsid w:val="00C417B0"/>
    <w:rsid w:val="00C45D4B"/>
    <w:rsid w:val="00C7553B"/>
    <w:rsid w:val="00CA7D3F"/>
    <w:rsid w:val="00CC12CA"/>
    <w:rsid w:val="00CD20F9"/>
    <w:rsid w:val="00D07820"/>
    <w:rsid w:val="00D13870"/>
    <w:rsid w:val="00D16881"/>
    <w:rsid w:val="00D2032D"/>
    <w:rsid w:val="00D45925"/>
    <w:rsid w:val="00D76271"/>
    <w:rsid w:val="00DA1804"/>
    <w:rsid w:val="00DB0D85"/>
    <w:rsid w:val="00DC34D7"/>
    <w:rsid w:val="00DE22A7"/>
    <w:rsid w:val="00DE28C0"/>
    <w:rsid w:val="00DE50E9"/>
    <w:rsid w:val="00DE6DE6"/>
    <w:rsid w:val="00E5132F"/>
    <w:rsid w:val="00E61E2B"/>
    <w:rsid w:val="00E733E0"/>
    <w:rsid w:val="00E7641E"/>
    <w:rsid w:val="00EC5EAE"/>
    <w:rsid w:val="00ED2B47"/>
    <w:rsid w:val="00F038AC"/>
    <w:rsid w:val="00F03AB6"/>
    <w:rsid w:val="00F357CC"/>
    <w:rsid w:val="00F51356"/>
    <w:rsid w:val="00F624F8"/>
    <w:rsid w:val="00FA3872"/>
    <w:rsid w:val="00FC60F8"/>
    <w:rsid w:val="00FD5969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E7C76"/>
  <w15:docId w15:val="{601CD3C9-CC7E-4575-B8F4-E7C34F4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7E4"/>
  </w:style>
  <w:style w:type="paragraph" w:styleId="Footer">
    <w:name w:val="footer"/>
    <w:basedOn w:val="Normal"/>
    <w:link w:val="FooterChar"/>
    <w:uiPriority w:val="99"/>
    <w:unhideWhenUsed/>
    <w:rsid w:val="00B37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7E4"/>
  </w:style>
  <w:style w:type="character" w:styleId="Hyperlink">
    <w:name w:val="Hyperlink"/>
    <w:basedOn w:val="DefaultParagraphFont"/>
    <w:uiPriority w:val="99"/>
    <w:unhideWhenUsed/>
    <w:rsid w:val="00B377E4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97222A"/>
    <w:pPr>
      <w:autoSpaceDE w:val="0"/>
      <w:autoSpaceDN w:val="0"/>
      <w:adjustRightInd w:val="0"/>
      <w:spacing w:after="0" w:line="240" w:lineRule="auto"/>
      <w:jc w:val="both"/>
    </w:pPr>
    <w:rPr>
      <w:rFonts w:ascii="Univers" w:eastAsia="Times New Roman" w:hAnsi="Univers" w:cs="Times New Roman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97222A"/>
    <w:rPr>
      <w:rFonts w:ascii="Univers" w:eastAsia="Times New Roman" w:hAnsi="Univers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97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craticservices@rother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Cabinet</vt:lpstr>
    </vt:vector>
  </TitlesOfParts>
  <Company>RDC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</dc:title>
  <dc:creator>Julie Hollands</dc:creator>
  <cp:lastModifiedBy>Lisa Cooper</cp:lastModifiedBy>
  <cp:revision>2</cp:revision>
  <cp:lastPrinted>2021-10-05T06:28:00Z</cp:lastPrinted>
  <dcterms:created xsi:type="dcterms:W3CDTF">2026-07-07T07:44:00Z</dcterms:created>
  <dcterms:modified xsi:type="dcterms:W3CDTF">2026-07-07T07:44:00Z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2012-09-26T00:00:00Z</vt:filetime>
  </property>
  <property fmtid="{D5CDD505-2E9C-101B-9397-08002B2CF9AE}" pid="3" name="LastSaved">
    <vt:filetime>2012-10-19T00:00:00Z</vt:filetime>
  </property>
</Properties>
</file>